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202"/>
      </w:tblGrid>
      <w:tr>
        <w:trPr>
          <w:trHeight w:hRule="exact" w:val="3175"/>
        </w:trPr>
        <w:tc>
          <w:tcPr>
            <w:tcW w:type="dxa" w:w="420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4000000">
            <w:pPr>
              <w:widowControl w:val="0"/>
              <w:spacing w:after="0" w:line="240" w:lineRule="auto"/>
              <w:ind w:hanging="142" w:left="142"/>
              <w:jc w:val="center"/>
            </w:pPr>
            <w:r>
              <w:drawing>
                <wp:inline>
                  <wp:extent cx="2203450" cy="180866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2203450" cy="18086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5000000">
            <w:pPr>
              <w:widowControl w:val="0"/>
              <w:tabs>
                <w:tab w:leader="none" w:pos="4253" w:val="left"/>
                <w:tab w:leader="none" w:pos="6804" w:val="left"/>
              </w:tabs>
              <w:ind w:firstLine="0" w:left="-106" w:right="-111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2"/>
        <w:gridCol w:w="1029"/>
        <w:gridCol w:w="258"/>
        <w:gridCol w:w="1702"/>
        <w:gridCol w:w="547"/>
      </w:tblGrid>
      <w:tr>
        <w:tc>
          <w:tcPr>
            <w:tcW w:type="dxa" w:w="17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center"/>
          </w:tcPr>
          <w:p w14:paraId="06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01.06.2026</w:t>
            </w:r>
          </w:p>
        </w:tc>
        <w:tc>
          <w:tcPr>
            <w:tcW w:type="dxa" w:w="25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bottom"/>
          </w:tcPr>
          <w:p w14:paraId="07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2249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bottom w:type="dxa" w:w="85"/>
            </w:tcMar>
          </w:tcPr>
          <w:p w14:paraId="08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0"/>
                <w:color w:val="00000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</w:rPr>
              <w:t>177-2026</w:t>
            </w:r>
          </w:p>
        </w:tc>
      </w:tr>
      <w:tr>
        <w:tc>
          <w:tcPr>
            <w:tcW w:type="dxa" w:w="4208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widowControl w:val="0"/>
              <w:spacing w:line="240" w:lineRule="exact"/>
              <w:ind w:right="57"/>
              <w:jc w:val="both"/>
            </w:pPr>
          </w:p>
          <w:p w14:paraId="0A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ИНФОРМАЦИЯ</w:t>
            </w:r>
          </w:p>
          <w:p w14:paraId="0B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0C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для размещения на сайте органа местного самоуправления в разделе правового просвещения</w:t>
            </w:r>
          </w:p>
        </w:tc>
      </w:tr>
    </w:tbl>
    <w:tbl>
      <w:tblPr>
        <w:tblStyle w:val="Style_1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D000000">
            <w:pPr>
              <w:widowControl w:val="0"/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tbl>
      <w:tblPr>
        <w:tblStyle w:val="Style_3"/>
        <w:tblpPr w:bottomFromText="0" w:horzAnchor="text" w:leftFromText="181" w:rightFromText="181" w:tblpX="5243" w:tblpY="1740" w:topFromText="0" w:vertAnchor="page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left w:type="dxa" w:w="28"/>
          <w:right w:type="dxa" w:w="28"/>
        </w:tblCellMar>
      </w:tblPr>
      <w:tblGrid>
        <w:gridCol w:w="3830"/>
      </w:tblGrid>
      <w:tr>
        <w:tc>
          <w:tcPr>
            <w:tcW w:type="dxa" w:w="383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</w:tcPr>
          <w:p w14:paraId="0E000000">
            <w:pPr>
              <w:widowControl w:val="0"/>
              <w:spacing w:after="0" w:line="240" w:lineRule="exact"/>
              <w:ind w:right="57"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widowControl w:val="0"/>
              <w:spacing w:after="0" w:line="240" w:lineRule="exact"/>
              <w:ind w:right="5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0000000">
      <w:pPr>
        <w:widowControl w:val="0"/>
        <w:tabs>
          <w:tab w:leader="none" w:pos="4395" w:val="left"/>
        </w:tabs>
        <w:spacing w:after="0" w:line="240" w:lineRule="auto"/>
        <w:ind/>
        <w:rPr>
          <w:rFonts w:ascii="Times New Roman" w:hAnsi="Times New Roman"/>
          <w:sz w:val="14"/>
        </w:rPr>
      </w:pPr>
    </w:p>
    <w:p w14:paraId="11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 xml:space="preserve">Во исполнение требований приказа Генерального прокурора Российской Федерации от 10.09.2021 №521 направляю в Ваш адрес информацию для размещения на официальном сайте органа местного самоуправления в разделе </w:t>
      </w:r>
      <w:r>
        <w:rPr>
          <w:rFonts w:ascii="Times New Roman" w:hAnsi="Times New Roman"/>
          <w:sz w:val="28"/>
        </w:rPr>
        <w:t>правового просвещения граждан («Прокурор разъясняет») следующего содержания:</w:t>
      </w:r>
    </w:p>
    <w:p w14:paraId="12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В Фатежском районе вынесен приговор по уголовному делу о незаконном изготовлении и хранении огнестрельного оружия.</w:t>
      </w:r>
    </w:p>
    <w:p w14:paraId="13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Прокуратура Фатежского района поддержала в суде государственное обвинение по уголовному делу в отношении 61-летнего местного жителя. Он признан виновным по ч. 1 ст. 223 УК РФ (незаконное изготовление огнестрельного оружия), ч. 1 ст. 222 УК РФ (незаконное хранение огнестрельного оружия).</w:t>
      </w:r>
    </w:p>
    <w:p w14:paraId="14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Судом установлено, что в сентябре 2025 года подсудимый из подручных предметов изготовил пистолет, после чего спрятал его в хозяйственной постройке на территории своего домовладения, где незаконно хранил.</w:t>
      </w:r>
    </w:p>
    <w:p w14:paraId="15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Указанная противоправная деятельность выявлена сотрудниками полиции в ходе оперативно-розыскных мероприятий. По заключению экспертизы изъятый пистолет является ручным огнестрельным оружием, пригодным для производства выстрелов.</w:t>
      </w:r>
    </w:p>
    <w:p w14:paraId="16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Ранее мужчина привлекался к уголовной ответственности за совершение аналогичных преступлений.</w:t>
      </w:r>
    </w:p>
    <w:p w14:paraId="17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учетом позиции государственного обвинителя суд назначил виновному наказание в виде 2 лет лишения свободы с отбыванием наказания в исправительной колонии общего режима.</w:t>
      </w:r>
    </w:p>
    <w:p w14:paraId="18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9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А.Н. Минаков</w:t>
      </w:r>
    </w:p>
    <w:p w14:paraId="1A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B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br w:type="page"/>
      </w:r>
    </w:p>
    <w:p w14:paraId="1C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Прокуратура выявила нарушения при содержании автомобильной дороги в Фатежском районе</w:t>
      </w:r>
    </w:p>
    <w:p w14:paraId="1D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Прокуратура Фатежского района провела проверку исполнения законодательства о безопасности дорожного движения.</w:t>
      </w:r>
    </w:p>
    <w:p w14:paraId="1E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Установлено, что участок автомобильной дороги на территории района содержится ненадлежащим образом. Обочина и часть проезжей части покрыты слоем льда, что создает угрозу безопасности дорожного движения и повышает риск дорожно-транспортных происшествий.</w:t>
      </w:r>
    </w:p>
    <w:p w14:paraId="1F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В связи с этим в адрес обслуживающей организации внесено представление с требованием устранить выявленные нарушения и не допускать их в дальнейшем. После вмешательства прокуратуры приняты дополнительные меры по надлежащему содержанию автомобильной дороги.</w:t>
      </w:r>
    </w:p>
    <w:p w14:paraId="20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На основании постановления прокуратура должностное лицо привлечено к административной ответственности по ч. 1 ст. 12.34 КоАП РФ в виде штрафа в размере 20 тыс. рублей.</w:t>
      </w:r>
    </w:p>
    <w:p w14:paraId="21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br w:type="page"/>
      </w:r>
    </w:p>
    <w:p w14:paraId="22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По иску прокуратуры взыскан ущерб, причиненный незаконной рубкой лесных насаждений в Фатежском районе</w:t>
      </w:r>
    </w:p>
    <w:p w14:paraId="23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Прокуратура Фатежского района провела проверку исполнения лесного законодательства.</w:t>
      </w:r>
    </w:p>
    <w:p w14:paraId="24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В ходе проверки установлено, что на территории государственного лесного фонда, переданной в пользование индивидуальному предпринимателю по охотхозяйственному соглашению, неустановленными лицами были незаконно срублены сырорастущие деревья пород «Клен» и «Груша».</w:t>
      </w:r>
    </w:p>
    <w:p w14:paraId="25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В результате указанных неправомерных действия лесному фонду причинен вред в сумме 32 тыс. 457 рублей.</w:t>
      </w:r>
    </w:p>
    <w:p w14:paraId="26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При этом, согласно условиям соглашения, на индивидуального предпринимателя возложена обязанность не допускать разрушения или ухудшения среды обитания охотничьих ресурсов.</w:t>
      </w:r>
    </w:p>
    <w:p w14:paraId="27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В связи с выявленными нарушениями прокурор района направил в суд исковое заявление о взыскании с предпринимателя в пользу муниципального образования «Фатежский муниципальный район» причиненного ущерба.</w:t>
      </w:r>
    </w:p>
    <w:p w14:paraId="28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Суд исковые требования прокуратуры удовлетворил.»</w:t>
      </w:r>
      <w:r>
        <w:br w:type="page"/>
      </w:r>
    </w:p>
    <w:p w14:paraId="29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В Фатежском районе предприниматель привлечен к административной ответственности за нарушение при приеме на работу гражданки иностранного государства</w:t>
      </w:r>
    </w:p>
    <w:p w14:paraId="2A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Прокуратура Фатежского района провела проверку исполнения миграционного законодательства.</w:t>
      </w:r>
    </w:p>
    <w:p w14:paraId="2B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В ходе проверки установлено, что индивидуальный предприниматель в феврале 2024 года принял на работу по трудовому договору женщину, которая является гражданкой иностранного государства. При этом о заключении трудового договора с ней отдел по вопросам миграции МО МВД России «Фатежский» он не уведомил. Летом 2025 года с указанным работником трудовые отношения были прекращены.</w:t>
      </w:r>
    </w:p>
    <w:p w14:paraId="2C000000">
      <w:pPr>
        <w:pStyle w:val="Style_4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По результатам поверки прокурор Фатежского района внес работодателю представление, в котором поставил вопрос о недопущении указанных нарушений в дальнейшем.</w:t>
      </w:r>
    </w:p>
    <w:p w14:paraId="2D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Кроме того, на основании постановления прокурора индивидуальный предприниматель привлечен к административной ответственности по ч. 3 ст. 18.15 КоАП РФ в виде штрафа в размере 200 тыс. рублей.»</w:t>
      </w:r>
      <w:r>
        <w:br w:type="page"/>
      </w:r>
    </w:p>
    <w:p w14:paraId="2E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«В Фатежском районе в суд направлено уголовное дело о повторном управлении транспортным средством в состоянии опьянения.</w:t>
      </w:r>
    </w:p>
    <w:p w14:paraId="2F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Фатежского района утвердил обвинительное заключение по уголовному делу в отношении 63-летнего местного жителя. Он обвивняется по ч. 1 ст. 264.1 УК РФ.</w:t>
      </w:r>
    </w:p>
    <w:p w14:paraId="30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версии следствия, в апреле 2026 года мужчина после употребления спиртных напитков передвигался по территории района на принадлежащем ему мопеде без государственных регистрационных номеров и был остановлен сотрудниками ДПС.</w:t>
      </w:r>
    </w:p>
    <w:p w14:paraId="31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проверки выяснилось, что ранее он уже был привлечен к административной ответственности за управление транспортным средством в состоянии опьянения.</w:t>
      </w:r>
    </w:p>
    <w:p w14:paraId="32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требованию прокуратуры района на транспортное средство наложен арест.</w:t>
      </w:r>
    </w:p>
    <w:p w14:paraId="33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Уголовное дело направлено в суд для рассмотрения по существу.»</w:t>
      </w:r>
    </w:p>
    <w:sectPr>
      <w:footerReference r:id="rId1" w:type="first"/>
      <w:pgSz w:h="16848" w:orient="portrait" w:w="11908"/>
      <w:pgMar w:bottom="1134" w:footer="709" w:gutter="0" w:header="709" w:left="1701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er"/>
    <w:basedOn w:val="Style_4"/>
    <w:link w:val="Style_1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header"/>
    <w:basedOn w:val="Style_4_ch"/>
    <w:link w:val="Style_12"/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alloon Text"/>
    <w:basedOn w:val="Style_4"/>
    <w:link w:val="Style_23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3_ch" w:type="character">
    <w:name w:val="Balloon Text"/>
    <w:basedOn w:val="Style_4_ch"/>
    <w:link w:val="Style_23"/>
    <w:rPr>
      <w:rFonts w:ascii="Segoe UI" w:hAnsi="Segoe UI"/>
      <w:sz w:val="18"/>
    </w:rPr>
  </w:style>
  <w:style w:styleId="Style_24" w:type="paragraph">
    <w:name w:val="Subtitle"/>
    <w:next w:val="Style_4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2025-10-13T13:04:27Z</dcterms:created>
  <dcterms:modified xsi:type="dcterms:W3CDTF">2026-06-10T06:52:30Z</dcterms:modified>
</cp:coreProperties>
</file>